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2E" w:rsidRPr="00421C2E" w:rsidRDefault="00421C2E" w:rsidP="00421C2E">
      <w:pPr>
        <w:spacing w:after="161" w:line="600" w:lineRule="atLeast"/>
        <w:outlineLvl w:val="0"/>
        <w:rPr>
          <w:rFonts w:ascii="Times New Roman" w:eastAsia="Times New Roman" w:hAnsi="Times New Roman" w:cs="Times New Roman"/>
          <w:color w:val="1C1C1C"/>
          <w:kern w:val="36"/>
          <w:sz w:val="39"/>
          <w:szCs w:val="39"/>
          <w:lang w:eastAsia="ru-RU"/>
        </w:rPr>
      </w:pPr>
      <w:r w:rsidRPr="00421C2E">
        <w:rPr>
          <w:rFonts w:ascii="Times New Roman" w:eastAsia="Times New Roman" w:hAnsi="Times New Roman" w:cs="Times New Roman"/>
          <w:color w:val="1C1C1C"/>
          <w:kern w:val="36"/>
          <w:sz w:val="39"/>
          <w:szCs w:val="39"/>
          <w:lang w:eastAsia="ru-RU"/>
        </w:rPr>
        <w:t>ГТО в детском саду</w:t>
      </w:r>
    </w:p>
    <w:p w:rsidR="00421C2E" w:rsidRPr="00421C2E" w:rsidRDefault="00421C2E" w:rsidP="00421C2E">
      <w:pPr>
        <w:spacing w:before="100" w:beforeAutospacing="1" w:after="100" w:afterAutospacing="1" w:line="300" w:lineRule="atLeast"/>
        <w:jc w:val="center"/>
        <w:outlineLvl w:val="4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F8CF5"/>
          <w:sz w:val="20"/>
          <w:szCs w:val="20"/>
          <w:lang w:eastAsia="ru-RU"/>
        </w:rPr>
        <w:drawing>
          <wp:inline distT="0" distB="0" distL="0" distR="0">
            <wp:extent cx="2857500" cy="742950"/>
            <wp:effectExtent l="19050" t="0" r="0" b="0"/>
            <wp:docPr id="1" name="Рисунок 1" descr="http://dsad99.edu-penza.ru/upload/images/gto-v-detskom-sadu-im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99.edu-penza.ru/upload/images/gto-v-detskom-sadu-im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C2E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107FC4"/>
          <w:sz w:val="20"/>
          <w:szCs w:val="20"/>
          <w:lang w:eastAsia="ru-RU"/>
        </w:rPr>
        <w:drawing>
          <wp:inline distT="0" distB="0" distL="0" distR="0">
            <wp:extent cx="2857500" cy="571500"/>
            <wp:effectExtent l="19050" t="0" r="0" b="0"/>
            <wp:docPr id="2" name="Рисунок 2" descr="http://dsad99.edu-penza.ru/upload/images/gto-v-detskom-sadu-img(1)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ad99.edu-penza.ru/upload/images/gto-v-detskom-sadu-img(1)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2E" w:rsidRPr="00421C2E" w:rsidRDefault="00421C2E" w:rsidP="00421C2E">
      <w:pPr>
        <w:spacing w:after="0" w:line="300" w:lineRule="atLeast"/>
        <w:rPr>
          <w:rFonts w:ascii="Times New Roman" w:eastAsia="Times New Roman" w:hAnsi="Times New Roman" w:cs="Times New Roman"/>
          <w:color w:val="107FC4"/>
          <w:sz w:val="24"/>
          <w:szCs w:val="24"/>
          <w:lang w:eastAsia="ru-RU"/>
        </w:rPr>
      </w:pPr>
      <w:r w:rsidRPr="00421C2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21C2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"http://www.oblsport-penza.ru/" </w:instrText>
      </w:r>
      <w:r w:rsidRPr="00421C2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21C2E" w:rsidRPr="00421C2E" w:rsidRDefault="00421C2E" w:rsidP="00421C2E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07FC4"/>
          <w:sz w:val="24"/>
          <w:szCs w:val="24"/>
          <w:lang w:eastAsia="ru-RU"/>
        </w:rPr>
        <w:drawing>
          <wp:inline distT="0" distB="0" distL="0" distR="0">
            <wp:extent cx="5715000" cy="762000"/>
            <wp:effectExtent l="19050" t="0" r="0" b="0"/>
            <wp:docPr id="3" name="Рисунок 3" descr="http://dsad99.edu-penza.ru/upload/images/gto-v-detskom-sadu-img(2)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ad99.edu-penza.ru/upload/images/gto-v-detskom-sadu-img(2)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2E" w:rsidRPr="00421C2E" w:rsidRDefault="00421C2E" w:rsidP="0042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2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21C2E" w:rsidRPr="00421C2E" w:rsidRDefault="00421C2E" w:rsidP="00421C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 1 сентября 2014 г. президент РФ В.В. Путин принял решение ввести в действие физкультурный комплекс «ГТО». В рамках обновленного «ГТО» предусматривается сдача спортивных нормативов в 11 возрастных группах, начиная с 6 лет. </w:t>
      </w:r>
    </w:p>
    <w:p w:rsidR="00421C2E" w:rsidRPr="00421C2E" w:rsidRDefault="00421C2E" w:rsidP="00421C2E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Внедрение ВФСК «ГТО» в дошкольной образовательной организации в контексте реализации ФГОС </w:t>
      </w:r>
      <w:proofErr w:type="gramStart"/>
      <w:r w:rsidRPr="00421C2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ДО</w:t>
      </w:r>
      <w:proofErr w:type="gramEnd"/>
      <w:r w:rsidRPr="00421C2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</w:p>
    <w:p w:rsidR="00421C2E" w:rsidRPr="00421C2E" w:rsidRDefault="00421C2E" w:rsidP="00421C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известном детском стихотворении С.Я. Маршака 1937 года «Рассказ о неизвестном герое» пожарные, милиция и фотографы разыскивают двадцатилетнего парня, спасшего из огня девочку. Из примет — «среднего роста, плечистый и крепкий, ходит он в белой футболке и кепке. Знак „ГТО“ на груди у него. Больше не знают о нем ничего», сообщает читателю Маршак. Ирония стихотворения заключалась в том, что значкистов ГТО в то время было больше половины страны, и каждый был готов к труду и обороне! </w:t>
      </w:r>
    </w:p>
    <w:p w:rsidR="00421C2E" w:rsidRPr="00421C2E" w:rsidRDefault="00421C2E" w:rsidP="00421C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 xml:space="preserve">В новой России ГТО возродили, а нормы теперь планируют сдавать и в детских садах. По словам знаменитого российского спортсмена Н. </w:t>
      </w:r>
      <w:proofErr w:type="spellStart"/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Валуева</w:t>
      </w:r>
      <w:proofErr w:type="spellEnd"/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, детские сады должны стать фундаментом, на котором детей будут приобщать к здоровому образу жизни и спорту, и свои первые значки ГТО ребята должны получать именно в дошкольных образовательных учреждениях.  </w:t>
      </w:r>
    </w:p>
    <w:p w:rsidR="00421C2E" w:rsidRPr="00421C2E" w:rsidRDefault="00421C2E" w:rsidP="00421C2E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1" w:history="1">
        <w:r w:rsidRPr="00421C2E">
          <w:rPr>
            <w:rFonts w:ascii="Arial" w:eastAsia="Times New Roman" w:hAnsi="Arial" w:cs="Arial"/>
            <w:b/>
            <w:bCs/>
            <w:color w:val="107FC4"/>
            <w:sz w:val="24"/>
            <w:szCs w:val="24"/>
            <w:lang w:eastAsia="ru-RU"/>
          </w:rPr>
          <w:t>Валуев предложил создать «ясельную группу» для норм ГТО</w:t>
        </w:r>
      </w:hyperlink>
      <w:hyperlink r:id="rId12" w:history="1">
        <w:r w:rsidRPr="00421C2E">
          <w:rPr>
            <w:rFonts w:ascii="Arial" w:eastAsia="Times New Roman" w:hAnsi="Arial" w:cs="Arial"/>
            <w:b/>
            <w:bCs/>
            <w:color w:val="107FC4"/>
            <w:sz w:val="24"/>
            <w:szCs w:val="24"/>
            <w:lang w:eastAsia="ru-RU"/>
          </w:rPr>
          <w:t> </w:t>
        </w:r>
      </w:hyperlink>
    </w:p>
    <w:p w:rsidR="00421C2E" w:rsidRPr="00421C2E" w:rsidRDefault="00421C2E" w:rsidP="00421C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Следует также отметить для чего, по нашему мнению, нужно внедрять ГТО в детские дошкольные организации и как это связано с ФГОС </w:t>
      </w:r>
      <w:proofErr w:type="gramStart"/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ДО</w:t>
      </w:r>
      <w:proofErr w:type="gramEnd"/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. Именно в дошкольном возрасте закладывается основа для физического развития, здоровья и характера человека в будущем. В дошкольном возрасте отчетливо намечаются генетические особенности детей.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Для развития </w:t>
      </w: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 xml:space="preserve">координации движений </w:t>
      </w:r>
      <w:proofErr w:type="spellStart"/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сензитивным</w:t>
      </w:r>
      <w:proofErr w:type="spellEnd"/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 Этот период - период самого активного развития ребенка, в двигательном, так и в психическом развитии. </w:t>
      </w:r>
    </w:p>
    <w:p w:rsidR="00421C2E" w:rsidRPr="00421C2E" w:rsidRDefault="00421C2E" w:rsidP="00421C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Наша задача не просто сформировать будущего здорового физически и психологически человека, а быть частью системы этого развития. ГТО вполне может справиться с этой задачей. Фактически, двигательная активность ребенка и его развитие - это принцип естественного воспитания ребенка, и ГТО весьма органично вписывается в данный процесс, в качестве завершающего фактора. </w:t>
      </w:r>
    </w:p>
    <w:p w:rsidR="00421C2E" w:rsidRPr="00421C2E" w:rsidRDefault="00421C2E" w:rsidP="00421C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Кроме того, участие </w:t>
      </w:r>
      <w:proofErr w:type="gramStart"/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</w:t>
      </w:r>
      <w:proofErr w:type="gramEnd"/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</w:t>
      </w:r>
      <w:proofErr w:type="gramStart"/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подобного</w:t>
      </w:r>
      <w:proofErr w:type="gramEnd"/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рода мероприятиях повышает интерес к физической культуре и здоровому образу жизни, как детей, так и взрослых. Подготовка и участие в сдаче норм ГТО позволит не только создать условия для укрепления здоровья детей, воспитания волевых качеств, развития стремления к победе и уверенности в своих силах, но и приблизить дошкольников к предстоящим Олимпийским играм, ощутить дух Олимпиады. Во время соревнований дети получают не только радость от своих результатов, но и учатся переживать за товарищей, а также чувствуют себя маленькими участниками огромной команды спортсменов России. </w:t>
      </w:r>
    </w:p>
    <w:p w:rsidR="00421C2E" w:rsidRPr="00421C2E" w:rsidRDefault="00421C2E" w:rsidP="00421C2E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3" w:history="1">
        <w:r w:rsidRPr="00421C2E">
          <w:rPr>
            <w:rFonts w:ascii="Arial" w:eastAsia="Times New Roman" w:hAnsi="Arial" w:cs="Arial"/>
            <w:b/>
            <w:bCs/>
            <w:color w:val="107FC4"/>
            <w:sz w:val="24"/>
            <w:szCs w:val="24"/>
            <w:lang w:eastAsia="ru-RU"/>
          </w:rPr>
          <w:t>Нормативная документация</w:t>
        </w:r>
      </w:hyperlink>
      <w:hyperlink r:id="rId14" w:history="1">
        <w:r w:rsidRPr="00421C2E">
          <w:rPr>
            <w:rFonts w:ascii="Arial" w:eastAsia="Times New Roman" w:hAnsi="Arial" w:cs="Arial"/>
            <w:b/>
            <w:bCs/>
            <w:color w:val="107FC4"/>
            <w:sz w:val="24"/>
            <w:szCs w:val="24"/>
            <w:lang w:eastAsia="ru-RU"/>
          </w:rPr>
          <w:t> </w:t>
        </w:r>
      </w:hyperlink>
    </w:p>
    <w:p w:rsidR="00421C2E" w:rsidRPr="00421C2E" w:rsidRDefault="00421C2E" w:rsidP="00421C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Цель комплекса ГТО:</w:t>
      </w: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увеличение продолжительности жизни населения с помощью систематической физической подготовки. </w:t>
      </w: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21C2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Задачи: </w:t>
      </w:r>
    </w:p>
    <w:p w:rsidR="00421C2E" w:rsidRPr="00421C2E" w:rsidRDefault="00421C2E" w:rsidP="00421C2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массовое внедрение комплекса ГТО, охват системой подготовки всех возрастных групп населения; </w:t>
      </w:r>
    </w:p>
    <w:p w:rsidR="00421C2E" w:rsidRPr="00421C2E" w:rsidRDefault="00421C2E" w:rsidP="00421C2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увеличение числа граждан, систематически занимающихся физической культурой и спортом в Российской Федерации; </w:t>
      </w:r>
    </w:p>
    <w:p w:rsidR="00421C2E" w:rsidRPr="00421C2E" w:rsidRDefault="00421C2E" w:rsidP="00421C2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повышение уровня физической подготовленности в продолжительности жизни граждан Российской Федерации; </w:t>
      </w:r>
    </w:p>
    <w:p w:rsidR="00421C2E" w:rsidRPr="00421C2E" w:rsidRDefault="00421C2E" w:rsidP="00421C2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 </w:t>
      </w:r>
    </w:p>
    <w:p w:rsidR="00421C2E" w:rsidRPr="00421C2E" w:rsidRDefault="00421C2E" w:rsidP="00421C2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модернизация системы физического воспитания и системы развития массового, детско-юношеского, школьного и студенческого   спорта в образовательных организациях, в том числе путем увеличения количества спортивных клубов. </w:t>
      </w:r>
    </w:p>
    <w:p w:rsidR="00421C2E" w:rsidRPr="00421C2E" w:rsidRDefault="00421C2E" w:rsidP="0042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Принципы: </w:t>
      </w: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</w:p>
    <w:p w:rsidR="00421C2E" w:rsidRPr="00421C2E" w:rsidRDefault="00421C2E" w:rsidP="00421C2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добровольность и доступность системы подготовки для всех слоев населения;</w:t>
      </w:r>
    </w:p>
    <w:p w:rsidR="00421C2E" w:rsidRPr="00421C2E" w:rsidRDefault="00421C2E" w:rsidP="00421C2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медицинский контроль; </w:t>
      </w:r>
    </w:p>
    <w:p w:rsidR="00421C2E" w:rsidRPr="00421C2E" w:rsidRDefault="00421C2E" w:rsidP="00421C2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учет местных традиций и особенностей. </w:t>
      </w:r>
    </w:p>
    <w:p w:rsidR="00421C2E" w:rsidRPr="00421C2E" w:rsidRDefault="00421C2E" w:rsidP="0042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Содержание комплекса: </w:t>
      </w: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</w:p>
    <w:p w:rsidR="00421C2E" w:rsidRPr="00421C2E" w:rsidRDefault="00421C2E" w:rsidP="00421C2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нормативы ГТО и спортивных разрядов; </w:t>
      </w:r>
    </w:p>
    <w:p w:rsidR="00421C2E" w:rsidRPr="00421C2E" w:rsidRDefault="00421C2E" w:rsidP="00421C2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система тестирования; </w:t>
      </w:r>
    </w:p>
    <w:p w:rsidR="00421C2E" w:rsidRPr="00421C2E" w:rsidRDefault="00421C2E" w:rsidP="00421C2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рекомендации по особенностям двигательного режима для различных групп. </w:t>
      </w:r>
    </w:p>
    <w:p w:rsidR="00491A7F" w:rsidRDefault="00421C2E" w:rsidP="00421C2E">
      <w:r w:rsidRPr="00421C2E"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  <w:t>Структура комплекса включает 11 ступеней, для каждой из которых установлены виды испытаний и нормативы их выполнения для права получения в первых семи из них бронзового, серебряного или золотого знака и без вручения знака в остальных четырех в зависимости от пола и возраста. Кроме того, для каждой ступени  определены необходимые знания, умения и рекомендации к двигательному режиму.</w:t>
      </w:r>
      <w:r w:rsidRPr="00421C2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sectPr w:rsidR="00491A7F" w:rsidSect="00D6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0C1A"/>
    <w:multiLevelType w:val="multilevel"/>
    <w:tmpl w:val="EAC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02D08"/>
    <w:multiLevelType w:val="multilevel"/>
    <w:tmpl w:val="9F1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705E2"/>
    <w:multiLevelType w:val="multilevel"/>
    <w:tmpl w:val="BC5E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C2E"/>
    <w:rsid w:val="00421C2E"/>
    <w:rsid w:val="008A169A"/>
    <w:rsid w:val="00D67B3C"/>
    <w:rsid w:val="00FC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3C"/>
  </w:style>
  <w:style w:type="paragraph" w:styleId="1">
    <w:name w:val="heading 1"/>
    <w:basedOn w:val="a"/>
    <w:link w:val="10"/>
    <w:uiPriority w:val="9"/>
    <w:qFormat/>
    <w:rsid w:val="00421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21C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1C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2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C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C2E"/>
  </w:style>
  <w:style w:type="paragraph" w:styleId="a5">
    <w:name w:val="Balloon Text"/>
    <w:basedOn w:val="a"/>
    <w:link w:val="a6"/>
    <w:uiPriority w:val="99"/>
    <w:semiHidden/>
    <w:unhideWhenUsed/>
    <w:rsid w:val="0042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sad99.edu-penza.ru/documents/NORMATIVNAYA-BAZA-spisok-GTO%20(3)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to.ru/" TargetMode="External"/><Relationship Id="rId12" Type="http://schemas.openxmlformats.org/officeDocument/2006/relationships/hyperlink" Target="http://er.ru/news/11822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r.ru/news/118227/" TargetMode="External"/><Relationship Id="rId5" Type="http://schemas.openxmlformats.org/officeDocument/2006/relationships/hyperlink" Target="http://www.minsport.gov.ru/sport/physical-culture/fiz-ra-papk/4384/?sphrase_id=38984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oblsport-penza.ru/" TargetMode="External"/><Relationship Id="rId14" Type="http://schemas.openxmlformats.org/officeDocument/2006/relationships/hyperlink" Target="http://dsad99.edu-penza.ru/documents/NORMATIVNAYA-BAZA-spisok-GTO%20(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2017-09-26T11:49:00Z</cp:lastPrinted>
  <dcterms:created xsi:type="dcterms:W3CDTF">2017-09-26T11:43:00Z</dcterms:created>
  <dcterms:modified xsi:type="dcterms:W3CDTF">2017-09-26T11:51:00Z</dcterms:modified>
</cp:coreProperties>
</file>